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5"/>
        <w:tblW w:w="10958" w:type="dxa"/>
        <w:tblInd w:w="-13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46"/>
        <w:gridCol w:w="5560"/>
        <w:gridCol w:w="2452"/>
      </w:tblGrid>
      <w:tr w:rsidR="00E17C5A" w14:paraId="561BE111" w14:textId="77777777">
        <w:tc>
          <w:tcPr>
            <w:tcW w:w="2946" w:type="dxa"/>
          </w:tcPr>
          <w:p w14:paraId="69EAEA2E" w14:textId="77777777" w:rsidR="00E17C5A" w:rsidRDefault="00000000">
            <w:pPr>
              <w:pBdr>
                <w:top w:val="nil"/>
                <w:left w:val="nil"/>
                <w:bottom w:val="nil"/>
                <w:right w:val="nil"/>
                <w:between w:val="nil"/>
              </w:pBdr>
              <w:tabs>
                <w:tab w:val="center" w:pos="4677"/>
                <w:tab w:val="right" w:pos="9355"/>
              </w:tabs>
              <w:jc w:val="center"/>
              <w:rPr>
                <w:color w:val="000000"/>
                <w:sz w:val="22"/>
                <w:szCs w:val="22"/>
              </w:rPr>
            </w:pPr>
            <w:r>
              <w:rPr>
                <w:noProof/>
                <w:color w:val="000000"/>
                <w:sz w:val="22"/>
                <w:szCs w:val="22"/>
              </w:rPr>
              <w:drawing>
                <wp:inline distT="0" distB="0" distL="114300" distR="114300" wp14:anchorId="6F43A2B7" wp14:editId="10C62A4A">
                  <wp:extent cx="1666875" cy="571500"/>
                  <wp:effectExtent l="0" t="0" r="0" b="0"/>
                  <wp:docPr id="1" name="image1.png" descr="Безымянный-1"/>
                  <wp:cNvGraphicFramePr/>
                  <a:graphic xmlns:a="http://schemas.openxmlformats.org/drawingml/2006/main">
                    <a:graphicData uri="http://schemas.openxmlformats.org/drawingml/2006/picture">
                      <pic:pic xmlns:pic="http://schemas.openxmlformats.org/drawingml/2006/picture">
                        <pic:nvPicPr>
                          <pic:cNvPr id="0" name="image1.png" descr="Безымянный-1"/>
                          <pic:cNvPicPr preferRelativeResize="0"/>
                        </pic:nvPicPr>
                        <pic:blipFill>
                          <a:blip r:embed="rId6"/>
                          <a:srcRect/>
                          <a:stretch>
                            <a:fillRect/>
                          </a:stretch>
                        </pic:blipFill>
                        <pic:spPr>
                          <a:xfrm>
                            <a:off x="0" y="0"/>
                            <a:ext cx="1666875" cy="571500"/>
                          </a:xfrm>
                          <a:prstGeom prst="rect">
                            <a:avLst/>
                          </a:prstGeom>
                          <a:ln/>
                        </pic:spPr>
                      </pic:pic>
                    </a:graphicData>
                  </a:graphic>
                </wp:inline>
              </w:drawing>
            </w:r>
          </w:p>
        </w:tc>
        <w:tc>
          <w:tcPr>
            <w:tcW w:w="5560" w:type="dxa"/>
          </w:tcPr>
          <w:p w14:paraId="7426E530" w14:textId="77777777" w:rsidR="00E17C5A" w:rsidRPr="00DE12F1" w:rsidRDefault="00000000" w:rsidP="00DE12F1">
            <w:pPr>
              <w:pBdr>
                <w:top w:val="nil"/>
                <w:left w:val="nil"/>
                <w:bottom w:val="nil"/>
                <w:right w:val="nil"/>
                <w:between w:val="nil"/>
              </w:pBdr>
              <w:jc w:val="center"/>
              <w:rPr>
                <w:color w:val="0000FF"/>
                <w:sz w:val="22"/>
                <w:szCs w:val="22"/>
              </w:rPr>
            </w:pPr>
            <w:r>
              <w:rPr>
                <w:color w:val="000000"/>
                <w:sz w:val="22"/>
                <w:szCs w:val="22"/>
              </w:rPr>
              <w:t>ДОДАТОК 3 –</w:t>
            </w:r>
            <w:r w:rsidRPr="00DE12F1">
              <w:rPr>
                <w:color w:val="0000FF"/>
                <w:sz w:val="22"/>
                <w:szCs w:val="22"/>
              </w:rPr>
              <w:t xml:space="preserve"> Appendix 3</w:t>
            </w:r>
          </w:p>
          <w:p w14:paraId="133353A8" w14:textId="77777777" w:rsidR="00E17C5A" w:rsidRDefault="00000000" w:rsidP="00DE12F1">
            <w:pPr>
              <w:pBdr>
                <w:top w:val="nil"/>
                <w:left w:val="nil"/>
                <w:bottom w:val="nil"/>
                <w:right w:val="nil"/>
                <w:between w:val="nil"/>
              </w:pBdr>
              <w:tabs>
                <w:tab w:val="left" w:pos="1080"/>
              </w:tabs>
              <w:ind w:right="1"/>
              <w:jc w:val="center"/>
              <w:rPr>
                <w:color w:val="000000"/>
                <w:sz w:val="22"/>
                <w:szCs w:val="22"/>
              </w:rPr>
            </w:pPr>
            <w:r>
              <w:rPr>
                <w:b/>
                <w:color w:val="000000"/>
                <w:sz w:val="22"/>
                <w:szCs w:val="22"/>
              </w:rPr>
              <w:t>Угода на проведення оцінки відповідності</w:t>
            </w:r>
          </w:p>
          <w:p w14:paraId="331D1931" w14:textId="77777777" w:rsidR="00E17C5A" w:rsidRPr="00DE12F1" w:rsidRDefault="00000000" w:rsidP="00DE12F1">
            <w:pPr>
              <w:pBdr>
                <w:top w:val="nil"/>
                <w:left w:val="nil"/>
                <w:bottom w:val="nil"/>
                <w:right w:val="nil"/>
                <w:between w:val="nil"/>
              </w:pBdr>
              <w:jc w:val="center"/>
              <w:rPr>
                <w:color w:val="0000FF"/>
                <w:sz w:val="22"/>
                <w:szCs w:val="22"/>
              </w:rPr>
            </w:pPr>
            <w:r w:rsidRPr="00DE12F1">
              <w:rPr>
                <w:b/>
                <w:color w:val="0000FF"/>
                <w:sz w:val="22"/>
                <w:szCs w:val="22"/>
              </w:rPr>
              <w:t>Agreement on conformity assessment</w:t>
            </w:r>
          </w:p>
          <w:p w14:paraId="7E5C3960" w14:textId="77777777" w:rsidR="00E17C5A" w:rsidRDefault="00E17C5A">
            <w:pPr>
              <w:pBdr>
                <w:top w:val="nil"/>
                <w:left w:val="nil"/>
                <w:bottom w:val="nil"/>
                <w:right w:val="nil"/>
                <w:between w:val="nil"/>
              </w:pBdr>
              <w:jc w:val="center"/>
              <w:rPr>
                <w:color w:val="0000FF"/>
                <w:sz w:val="22"/>
                <w:szCs w:val="22"/>
              </w:rPr>
            </w:pPr>
          </w:p>
        </w:tc>
        <w:tc>
          <w:tcPr>
            <w:tcW w:w="2452" w:type="dxa"/>
          </w:tcPr>
          <w:p w14:paraId="33120A24" w14:textId="77777777" w:rsidR="00E17C5A" w:rsidRDefault="00000000">
            <w:pPr>
              <w:pBdr>
                <w:top w:val="nil"/>
                <w:left w:val="nil"/>
                <w:bottom w:val="nil"/>
                <w:right w:val="nil"/>
                <w:between w:val="nil"/>
              </w:pBdr>
              <w:tabs>
                <w:tab w:val="center" w:pos="4677"/>
                <w:tab w:val="right" w:pos="9355"/>
              </w:tabs>
              <w:rPr>
                <w:color w:val="000000"/>
                <w:sz w:val="22"/>
                <w:szCs w:val="22"/>
              </w:rPr>
            </w:pPr>
            <w:r>
              <w:rPr>
                <w:color w:val="000000"/>
                <w:sz w:val="22"/>
                <w:szCs w:val="22"/>
              </w:rPr>
              <w:t>Номер виробника</w:t>
            </w:r>
          </w:p>
        </w:tc>
      </w:tr>
    </w:tbl>
    <w:p w14:paraId="069628CA" w14:textId="77777777" w:rsidR="00E17C5A" w:rsidRDefault="00E17C5A">
      <w:pPr>
        <w:pBdr>
          <w:top w:val="nil"/>
          <w:left w:val="nil"/>
          <w:bottom w:val="nil"/>
          <w:right w:val="nil"/>
          <w:between w:val="nil"/>
        </w:pBdr>
        <w:rPr>
          <w:color w:val="000000"/>
          <w:sz w:val="22"/>
          <w:szCs w:val="22"/>
        </w:rPr>
      </w:pPr>
    </w:p>
    <w:tbl>
      <w:tblPr>
        <w:tblStyle w:val="a6"/>
        <w:tblW w:w="10915" w:type="dxa"/>
        <w:tblInd w:w="-1389" w:type="dxa"/>
        <w:tblLayout w:type="fixed"/>
        <w:tblLook w:val="0000" w:firstRow="0" w:lastRow="0" w:firstColumn="0" w:lastColumn="0" w:noHBand="0" w:noVBand="0"/>
      </w:tblPr>
      <w:tblGrid>
        <w:gridCol w:w="5387"/>
        <w:gridCol w:w="5528"/>
      </w:tblGrid>
      <w:tr w:rsidR="00E17C5A" w14:paraId="74E8F0CE" w14:textId="77777777">
        <w:tc>
          <w:tcPr>
            <w:tcW w:w="5387" w:type="dxa"/>
          </w:tcPr>
          <w:p w14:paraId="49A7782B" w14:textId="77777777" w:rsidR="00E17C5A" w:rsidRDefault="00000000">
            <w:pPr>
              <w:pBdr>
                <w:top w:val="nil"/>
                <w:left w:val="nil"/>
                <w:bottom w:val="nil"/>
                <w:right w:val="nil"/>
                <w:between w:val="nil"/>
              </w:pBdr>
              <w:tabs>
                <w:tab w:val="left" w:pos="1080"/>
              </w:tabs>
              <w:ind w:right="1" w:firstLine="540"/>
              <w:jc w:val="center"/>
              <w:rPr>
                <w:color w:val="000000"/>
                <w:sz w:val="22"/>
                <w:szCs w:val="22"/>
              </w:rPr>
            </w:pPr>
            <w:r>
              <w:rPr>
                <w:b/>
                <w:color w:val="000000"/>
                <w:sz w:val="22"/>
                <w:szCs w:val="22"/>
              </w:rPr>
              <w:t>Угода на проведення оцінки відповідності</w:t>
            </w:r>
          </w:p>
          <w:p w14:paraId="38B9D899" w14:textId="77777777" w:rsidR="00E17C5A" w:rsidRDefault="00E17C5A">
            <w:pPr>
              <w:pBdr>
                <w:top w:val="nil"/>
                <w:left w:val="nil"/>
                <w:bottom w:val="nil"/>
                <w:right w:val="nil"/>
                <w:between w:val="nil"/>
              </w:pBdr>
              <w:tabs>
                <w:tab w:val="left" w:pos="1080"/>
              </w:tabs>
              <w:ind w:firstLine="540"/>
              <w:jc w:val="both"/>
              <w:rPr>
                <w:color w:val="000000"/>
                <w:sz w:val="22"/>
                <w:szCs w:val="22"/>
              </w:rPr>
            </w:pPr>
          </w:p>
          <w:p w14:paraId="4CB72A4A" w14:textId="77777777" w:rsidR="00E17C5A" w:rsidRDefault="00000000">
            <w:pPr>
              <w:pBdr>
                <w:top w:val="nil"/>
                <w:left w:val="nil"/>
                <w:bottom w:val="nil"/>
                <w:right w:val="nil"/>
                <w:between w:val="nil"/>
              </w:pBdr>
              <w:tabs>
                <w:tab w:val="left" w:pos="1080"/>
              </w:tabs>
              <w:ind w:firstLine="540"/>
              <w:jc w:val="both"/>
              <w:rPr>
                <w:color w:val="000000"/>
                <w:sz w:val="22"/>
                <w:szCs w:val="22"/>
              </w:rPr>
            </w:pPr>
            <w:r>
              <w:rPr>
                <w:color w:val="000000"/>
                <w:sz w:val="22"/>
                <w:szCs w:val="22"/>
              </w:rPr>
              <w:t xml:space="preserve">ТОВ «Дослідний медичний центр сертифікації»  (далі – Призначений орган), в особі директора Чекаліна Андрія Володимировича, що діє на підставі Статуту підприємства, з однієї сторони, та офіційний виробник-заявник _______________________________, в особі ______________________________, що діє на підставі Статуту підприємства, з другої сторони,  та Уповноважений представник в Україні ________________, в особі директора ________________________________, що діє на підставі Доручення/Контракту, з третьої сторони, далі – разом Сторони, а кожна окремо Сторона, уклали цю Угоду, про наступне: </w:t>
            </w:r>
          </w:p>
          <w:p w14:paraId="29DE4861" w14:textId="77777777" w:rsidR="00E17C5A" w:rsidRDefault="00E17C5A">
            <w:pPr>
              <w:pBdr>
                <w:top w:val="nil"/>
                <w:left w:val="nil"/>
                <w:bottom w:val="nil"/>
                <w:right w:val="nil"/>
                <w:between w:val="nil"/>
              </w:pBdr>
              <w:tabs>
                <w:tab w:val="left" w:pos="1080"/>
              </w:tabs>
              <w:ind w:firstLine="540"/>
              <w:jc w:val="both"/>
              <w:rPr>
                <w:color w:val="000000"/>
                <w:sz w:val="22"/>
                <w:szCs w:val="22"/>
              </w:rPr>
            </w:pPr>
          </w:p>
          <w:p w14:paraId="4F8B6F81" w14:textId="77777777" w:rsidR="00E17C5A" w:rsidRDefault="00000000">
            <w:pPr>
              <w:pBdr>
                <w:top w:val="nil"/>
                <w:left w:val="nil"/>
                <w:bottom w:val="nil"/>
                <w:right w:val="nil"/>
                <w:between w:val="nil"/>
              </w:pBdr>
              <w:ind w:firstLine="540"/>
              <w:jc w:val="both"/>
              <w:rPr>
                <w:color w:val="000000"/>
                <w:sz w:val="22"/>
                <w:szCs w:val="22"/>
              </w:rPr>
            </w:pPr>
            <w:r>
              <w:rPr>
                <w:color w:val="000000"/>
                <w:sz w:val="22"/>
                <w:szCs w:val="22"/>
              </w:rPr>
              <w:t>- Дана Угода укладається на вимогу ISO/IEC 17065 «Оцінювання відповідності. Вимоги до органів, що сертифікують продукцію, процеси та послуги» та ISO/IEC 17021-1 «Оцінка відповідності. Вимоги до органів, що здійснюють аудит і сертифікацію систем управління».</w:t>
            </w:r>
          </w:p>
          <w:p w14:paraId="33417F88" w14:textId="77777777" w:rsidR="00E17C5A" w:rsidRDefault="00000000">
            <w:pPr>
              <w:pBdr>
                <w:top w:val="nil"/>
                <w:left w:val="nil"/>
                <w:bottom w:val="nil"/>
                <w:right w:val="nil"/>
                <w:between w:val="nil"/>
              </w:pBdr>
              <w:tabs>
                <w:tab w:val="left" w:pos="1080"/>
              </w:tabs>
              <w:ind w:firstLine="540"/>
              <w:jc w:val="both"/>
              <w:rPr>
                <w:color w:val="000000"/>
                <w:sz w:val="22"/>
                <w:szCs w:val="22"/>
              </w:rPr>
            </w:pPr>
            <w:r>
              <w:rPr>
                <w:color w:val="000000"/>
                <w:sz w:val="22"/>
                <w:szCs w:val="22"/>
              </w:rPr>
              <w:t>- Інформаційну та комунікаційну підтримку для послуг відповідно до цієї Угоди реалізує уповноважений представник виробника, який вчиняє, від його імені, юридичні дії стосовно обов’язків, встановленим відповідним Технічним регламентом.</w:t>
            </w:r>
          </w:p>
          <w:p w14:paraId="72C64BCF" w14:textId="77777777" w:rsidR="00E17C5A" w:rsidRDefault="00E17C5A">
            <w:pPr>
              <w:pBdr>
                <w:top w:val="nil"/>
                <w:left w:val="nil"/>
                <w:bottom w:val="nil"/>
                <w:right w:val="nil"/>
                <w:between w:val="nil"/>
              </w:pBdr>
              <w:tabs>
                <w:tab w:val="left" w:pos="1080"/>
              </w:tabs>
              <w:ind w:firstLine="540"/>
              <w:jc w:val="both"/>
              <w:rPr>
                <w:color w:val="000000"/>
                <w:sz w:val="22"/>
                <w:szCs w:val="22"/>
              </w:rPr>
            </w:pPr>
          </w:p>
          <w:p w14:paraId="3C574860" w14:textId="77777777" w:rsidR="00E17C5A" w:rsidRDefault="00000000">
            <w:pPr>
              <w:pBdr>
                <w:top w:val="nil"/>
                <w:left w:val="nil"/>
                <w:bottom w:val="nil"/>
                <w:right w:val="nil"/>
                <w:between w:val="nil"/>
              </w:pBdr>
              <w:tabs>
                <w:tab w:val="left" w:pos="1080"/>
              </w:tabs>
              <w:ind w:firstLine="540"/>
              <w:jc w:val="both"/>
              <w:rPr>
                <w:color w:val="000000"/>
                <w:sz w:val="22"/>
                <w:szCs w:val="22"/>
              </w:rPr>
            </w:pPr>
            <w:r>
              <w:rPr>
                <w:color w:val="000000"/>
                <w:sz w:val="22"/>
                <w:szCs w:val="22"/>
              </w:rPr>
              <w:t>- Призначений орган  проводить роботи з оцінки відповідності згідно з заявленою схемою оцінки відповідності.</w:t>
            </w:r>
          </w:p>
          <w:p w14:paraId="7B804E3B" w14:textId="77777777" w:rsidR="00E17C5A" w:rsidRDefault="00000000">
            <w:pPr>
              <w:pBdr>
                <w:top w:val="nil"/>
                <w:left w:val="nil"/>
                <w:bottom w:val="nil"/>
                <w:right w:val="nil"/>
                <w:between w:val="nil"/>
              </w:pBdr>
              <w:tabs>
                <w:tab w:val="left" w:pos="1080"/>
              </w:tabs>
              <w:ind w:firstLine="540"/>
              <w:jc w:val="both"/>
              <w:rPr>
                <w:color w:val="000000"/>
                <w:sz w:val="22"/>
                <w:szCs w:val="22"/>
              </w:rPr>
            </w:pPr>
            <w:r>
              <w:rPr>
                <w:color w:val="000000"/>
                <w:sz w:val="22"/>
                <w:szCs w:val="22"/>
              </w:rPr>
              <w:t>- Заявник підтверджує, що така заявка не подана іншому органу з оцінки відповідності.</w:t>
            </w:r>
          </w:p>
          <w:p w14:paraId="044638F4" w14:textId="77777777" w:rsidR="00E17C5A" w:rsidRDefault="00000000">
            <w:pPr>
              <w:pBdr>
                <w:top w:val="nil"/>
                <w:left w:val="nil"/>
                <w:bottom w:val="nil"/>
                <w:right w:val="nil"/>
                <w:between w:val="nil"/>
              </w:pBdr>
              <w:tabs>
                <w:tab w:val="left" w:pos="1080"/>
              </w:tabs>
              <w:ind w:firstLine="540"/>
              <w:jc w:val="both"/>
              <w:rPr>
                <w:color w:val="000000"/>
                <w:sz w:val="22"/>
                <w:szCs w:val="22"/>
              </w:rPr>
            </w:pPr>
            <w:r>
              <w:rPr>
                <w:color w:val="000000"/>
                <w:sz w:val="22"/>
                <w:szCs w:val="22"/>
              </w:rPr>
              <w:t>- Заявник зобов’язується виконувати обов’язки, що покладаються на нього затвердженою системою управління якістю.</w:t>
            </w:r>
          </w:p>
          <w:p w14:paraId="1503A483" w14:textId="77777777" w:rsidR="00E17C5A" w:rsidRDefault="00000000">
            <w:pPr>
              <w:pBdr>
                <w:top w:val="nil"/>
                <w:left w:val="nil"/>
                <w:bottom w:val="nil"/>
                <w:right w:val="nil"/>
                <w:between w:val="nil"/>
              </w:pBdr>
              <w:tabs>
                <w:tab w:val="left" w:pos="1080"/>
              </w:tabs>
              <w:ind w:firstLine="540"/>
              <w:jc w:val="both"/>
              <w:rPr>
                <w:color w:val="000000"/>
                <w:sz w:val="22"/>
                <w:szCs w:val="22"/>
              </w:rPr>
            </w:pPr>
            <w:r>
              <w:rPr>
                <w:color w:val="000000"/>
                <w:sz w:val="22"/>
                <w:szCs w:val="22"/>
              </w:rPr>
              <w:t>- Заявник зобов’язується забезпечувати адекватність та ефективність затвердженої системи управління якістю.</w:t>
            </w:r>
          </w:p>
          <w:p w14:paraId="47CAEE16" w14:textId="77777777" w:rsidR="00E17C5A" w:rsidRDefault="00000000">
            <w:pPr>
              <w:pBdr>
                <w:top w:val="nil"/>
                <w:left w:val="nil"/>
                <w:bottom w:val="nil"/>
                <w:right w:val="nil"/>
                <w:between w:val="nil"/>
              </w:pBdr>
              <w:tabs>
                <w:tab w:val="left" w:pos="1080"/>
              </w:tabs>
              <w:ind w:firstLine="540"/>
              <w:jc w:val="both"/>
              <w:rPr>
                <w:color w:val="000000"/>
                <w:sz w:val="22"/>
                <w:szCs w:val="22"/>
              </w:rPr>
            </w:pPr>
            <w:r>
              <w:rPr>
                <w:color w:val="000000"/>
                <w:sz w:val="22"/>
                <w:szCs w:val="22"/>
              </w:rPr>
              <w:t>- Заявник зобов’язується інформувати ТОВ «ДМЦС» про будь-які плани здійснення значних змін у системі управління якістю або охопленому нею переліку продукції.</w:t>
            </w:r>
          </w:p>
          <w:p w14:paraId="4F1C9A2F" w14:textId="77777777" w:rsidR="00E17C5A" w:rsidRDefault="00000000">
            <w:pPr>
              <w:pBdr>
                <w:top w:val="nil"/>
                <w:left w:val="nil"/>
                <w:bottom w:val="nil"/>
                <w:right w:val="nil"/>
                <w:between w:val="nil"/>
              </w:pBdr>
              <w:tabs>
                <w:tab w:val="left" w:pos="1080"/>
              </w:tabs>
              <w:ind w:firstLine="540"/>
              <w:jc w:val="both"/>
              <w:rPr>
                <w:color w:val="000000"/>
                <w:sz w:val="22"/>
                <w:szCs w:val="22"/>
              </w:rPr>
            </w:pPr>
            <w:r>
              <w:rPr>
                <w:color w:val="000000"/>
                <w:sz w:val="22"/>
                <w:szCs w:val="22"/>
              </w:rPr>
              <w:t>- Заявник зобов’язується підтримувати в актуальному стані системну процедуру вивчення досвіду, отриманого  на після виробничому етапі, а також впровадити належні засоби вжиття будь-яких необхідних коригувальних заходів.</w:t>
            </w:r>
          </w:p>
          <w:p w14:paraId="1753CEE6" w14:textId="77777777" w:rsidR="00E17C5A" w:rsidRDefault="00000000">
            <w:pPr>
              <w:pBdr>
                <w:top w:val="nil"/>
                <w:left w:val="nil"/>
                <w:bottom w:val="nil"/>
                <w:right w:val="nil"/>
                <w:between w:val="nil"/>
              </w:pBdr>
              <w:tabs>
                <w:tab w:val="left" w:pos="1080"/>
              </w:tabs>
              <w:ind w:firstLine="540"/>
              <w:jc w:val="both"/>
              <w:rPr>
                <w:color w:val="000000"/>
                <w:sz w:val="22"/>
                <w:szCs w:val="22"/>
              </w:rPr>
            </w:pPr>
            <w:r>
              <w:rPr>
                <w:color w:val="000000"/>
                <w:sz w:val="22"/>
                <w:szCs w:val="22"/>
              </w:rPr>
              <w:t>- Заявник зобов’язується повідомляти компетентні органи про виникнення інцидентів щодо продукції негайно після отримання відомостей про них.</w:t>
            </w:r>
          </w:p>
          <w:p w14:paraId="05350E85" w14:textId="77777777" w:rsidR="00E17C5A" w:rsidRDefault="00000000">
            <w:pPr>
              <w:pBdr>
                <w:top w:val="nil"/>
                <w:left w:val="nil"/>
                <w:bottom w:val="nil"/>
                <w:right w:val="nil"/>
                <w:between w:val="nil"/>
              </w:pBdr>
              <w:tabs>
                <w:tab w:val="left" w:pos="1080"/>
              </w:tabs>
              <w:ind w:firstLine="540"/>
              <w:jc w:val="both"/>
              <w:rPr>
                <w:color w:val="000000"/>
                <w:sz w:val="22"/>
                <w:szCs w:val="22"/>
              </w:rPr>
            </w:pPr>
            <w:r>
              <w:rPr>
                <w:color w:val="000000"/>
                <w:sz w:val="22"/>
                <w:szCs w:val="22"/>
              </w:rPr>
              <w:t>- Заявник зобов’язується надати всі необхідні документи і несе відповідальність за достовірність інформації в поданих матеріалах.</w:t>
            </w:r>
          </w:p>
          <w:p w14:paraId="5F7ACA4C" w14:textId="77777777" w:rsidR="00E17C5A" w:rsidRDefault="00000000">
            <w:pPr>
              <w:pBdr>
                <w:top w:val="nil"/>
                <w:left w:val="nil"/>
                <w:bottom w:val="nil"/>
                <w:right w:val="nil"/>
                <w:between w:val="nil"/>
              </w:pBdr>
              <w:tabs>
                <w:tab w:val="left" w:pos="1080"/>
              </w:tabs>
              <w:ind w:firstLine="540"/>
              <w:jc w:val="both"/>
              <w:rPr>
                <w:color w:val="000000"/>
                <w:sz w:val="22"/>
                <w:szCs w:val="22"/>
              </w:rPr>
            </w:pPr>
            <w:r>
              <w:rPr>
                <w:color w:val="000000"/>
                <w:sz w:val="22"/>
                <w:szCs w:val="22"/>
              </w:rPr>
              <w:lastRenderedPageBreak/>
              <w:t xml:space="preserve">- Заявник ознайомлений із Умовами проведення оцінки відповідності, Порядком сертифікації системи управління якістю, Порядком сертифікації продукції, умовами підтримки сертифікації, а також порядком розгляду апеляцій та скарг. </w:t>
            </w:r>
          </w:p>
        </w:tc>
        <w:tc>
          <w:tcPr>
            <w:tcW w:w="5528" w:type="dxa"/>
          </w:tcPr>
          <w:p w14:paraId="04AFB87A" w14:textId="77777777" w:rsidR="00E17C5A" w:rsidRDefault="00000000">
            <w:pPr>
              <w:pBdr>
                <w:top w:val="nil"/>
                <w:left w:val="nil"/>
                <w:bottom w:val="nil"/>
                <w:right w:val="nil"/>
                <w:between w:val="nil"/>
              </w:pBdr>
              <w:ind w:firstLine="567"/>
              <w:jc w:val="both"/>
              <w:rPr>
                <w:color w:val="000000"/>
                <w:sz w:val="22"/>
                <w:szCs w:val="22"/>
              </w:rPr>
            </w:pPr>
            <w:r>
              <w:rPr>
                <w:b/>
                <w:color w:val="000000"/>
                <w:sz w:val="22"/>
                <w:szCs w:val="22"/>
              </w:rPr>
              <w:lastRenderedPageBreak/>
              <w:t>Agreement on conformity assessment</w:t>
            </w:r>
          </w:p>
          <w:p w14:paraId="6444E541" w14:textId="77777777" w:rsidR="00E17C5A" w:rsidRDefault="00E17C5A">
            <w:pPr>
              <w:pBdr>
                <w:top w:val="nil"/>
                <w:left w:val="nil"/>
                <w:bottom w:val="nil"/>
                <w:right w:val="nil"/>
                <w:between w:val="nil"/>
              </w:pBdr>
              <w:ind w:firstLine="567"/>
              <w:jc w:val="both"/>
              <w:rPr>
                <w:color w:val="000000"/>
                <w:sz w:val="22"/>
                <w:szCs w:val="22"/>
              </w:rPr>
            </w:pPr>
          </w:p>
          <w:p w14:paraId="421BCCA6" w14:textId="77777777" w:rsidR="00E17C5A" w:rsidRDefault="00000000">
            <w:pPr>
              <w:pBdr>
                <w:top w:val="nil"/>
                <w:left w:val="nil"/>
                <w:bottom w:val="nil"/>
                <w:right w:val="nil"/>
                <w:between w:val="nil"/>
              </w:pBdr>
              <w:ind w:firstLine="567"/>
              <w:jc w:val="both"/>
              <w:rPr>
                <w:color w:val="000000"/>
                <w:sz w:val="22"/>
                <w:szCs w:val="22"/>
              </w:rPr>
            </w:pPr>
            <w:r>
              <w:rPr>
                <w:color w:val="000000"/>
                <w:sz w:val="22"/>
                <w:szCs w:val="22"/>
              </w:rPr>
              <w:t>Research Medical Center of Certification ltd (hereinafter referred to as Notified body), represented by Director Andrii Chekalin, acting on the basis of the Charter of the enterprise, on the one hand, and Legal Manufacturer-Applicant ________________________________, represented by ______________________________, acting on the basis of the Charter of the Company, on the second hand, and Ukrainian Authorized representative _______________________, represented by ______________________________, acting on the basis of Power of Attorney/Contract, on the third hand,  jointly hereinafter referred to as the “Parties”, and separately each hereinafter referred to as the “Party” have made this Agreement on conformity assessment, hereinafter referred to as the “Agreement”, as follows:</w:t>
            </w:r>
          </w:p>
          <w:p w14:paraId="3F86D492" w14:textId="77777777" w:rsidR="00E17C5A" w:rsidRDefault="00000000">
            <w:pPr>
              <w:pBdr>
                <w:top w:val="nil"/>
                <w:left w:val="nil"/>
                <w:bottom w:val="nil"/>
                <w:right w:val="nil"/>
                <w:between w:val="nil"/>
              </w:pBdr>
              <w:ind w:firstLine="567"/>
              <w:jc w:val="both"/>
              <w:rPr>
                <w:color w:val="000000"/>
                <w:sz w:val="22"/>
                <w:szCs w:val="22"/>
              </w:rPr>
            </w:pPr>
            <w:r>
              <w:rPr>
                <w:color w:val="000000"/>
                <w:sz w:val="22"/>
                <w:szCs w:val="22"/>
              </w:rPr>
              <w:t>- Agreement is made at the request of ISO/IEC 17065 "Conformity assessment. Requirements for bodies certifying products, processes and services" and ISO/IEC 17021-1 "Conformity assessment. Requirements for bodies providing audit and certification of management systems. Requirements".</w:t>
            </w:r>
          </w:p>
          <w:p w14:paraId="3295BDD5" w14:textId="77777777" w:rsidR="00E17C5A" w:rsidRDefault="00000000">
            <w:pPr>
              <w:pBdr>
                <w:top w:val="nil"/>
                <w:left w:val="nil"/>
                <w:bottom w:val="nil"/>
                <w:right w:val="nil"/>
                <w:between w:val="nil"/>
              </w:pBdr>
              <w:ind w:firstLine="567"/>
              <w:jc w:val="both"/>
              <w:rPr>
                <w:color w:val="000000"/>
                <w:sz w:val="22"/>
                <w:szCs w:val="22"/>
              </w:rPr>
            </w:pPr>
            <w:r>
              <w:rPr>
                <w:color w:val="000000"/>
                <w:sz w:val="22"/>
                <w:szCs w:val="22"/>
              </w:rPr>
              <w:t>- According to this Agreement information and communication support of services is carried out by the Ukrainian Authorized representative, and on behalf of the manufacturer he shall execute legal activities pursuant to the obligations established by the relevant technical regulations.</w:t>
            </w:r>
          </w:p>
          <w:p w14:paraId="35A05139" w14:textId="77777777" w:rsidR="00E17C5A" w:rsidRDefault="00000000">
            <w:pPr>
              <w:pBdr>
                <w:top w:val="nil"/>
                <w:left w:val="nil"/>
                <w:bottom w:val="nil"/>
                <w:right w:val="nil"/>
                <w:between w:val="nil"/>
              </w:pBdr>
              <w:ind w:firstLine="567"/>
              <w:jc w:val="both"/>
              <w:rPr>
                <w:color w:val="000000"/>
                <w:sz w:val="22"/>
                <w:szCs w:val="22"/>
              </w:rPr>
            </w:pPr>
            <w:r>
              <w:rPr>
                <w:color w:val="000000"/>
                <w:sz w:val="22"/>
                <w:szCs w:val="22"/>
              </w:rPr>
              <w:t>- Notified body carries out work on conformity assessment in accordance with the declared conformity assessment scheme.</w:t>
            </w:r>
          </w:p>
          <w:p w14:paraId="6258BE10" w14:textId="77777777" w:rsidR="00E17C5A" w:rsidRDefault="00000000">
            <w:pPr>
              <w:pBdr>
                <w:top w:val="nil"/>
                <w:left w:val="nil"/>
                <w:bottom w:val="nil"/>
                <w:right w:val="nil"/>
                <w:between w:val="nil"/>
              </w:pBdr>
              <w:ind w:firstLine="567"/>
              <w:jc w:val="both"/>
              <w:rPr>
                <w:color w:val="000000"/>
                <w:sz w:val="22"/>
                <w:szCs w:val="22"/>
              </w:rPr>
            </w:pPr>
            <w:r>
              <w:rPr>
                <w:color w:val="000000"/>
                <w:sz w:val="22"/>
                <w:szCs w:val="22"/>
              </w:rPr>
              <w:t>- Applicant confirms that this application is not submitted to another Notified Body.</w:t>
            </w:r>
          </w:p>
          <w:p w14:paraId="01805B29" w14:textId="77777777" w:rsidR="00E17C5A" w:rsidRDefault="00000000">
            <w:pPr>
              <w:pBdr>
                <w:top w:val="nil"/>
                <w:left w:val="nil"/>
                <w:bottom w:val="nil"/>
                <w:right w:val="nil"/>
                <w:between w:val="nil"/>
              </w:pBdr>
              <w:ind w:firstLine="567"/>
              <w:jc w:val="both"/>
              <w:rPr>
                <w:color w:val="000000"/>
                <w:sz w:val="22"/>
                <w:szCs w:val="22"/>
              </w:rPr>
            </w:pPr>
            <w:r>
              <w:rPr>
                <w:color w:val="000000"/>
                <w:sz w:val="22"/>
                <w:szCs w:val="22"/>
              </w:rPr>
              <w:t>- Applicant agrees to perform the duties required by the approved quality management system.</w:t>
            </w:r>
          </w:p>
          <w:p w14:paraId="3435E439" w14:textId="77777777" w:rsidR="00E17C5A" w:rsidRDefault="00E17C5A">
            <w:pPr>
              <w:pBdr>
                <w:top w:val="nil"/>
                <w:left w:val="nil"/>
                <w:bottom w:val="nil"/>
                <w:right w:val="nil"/>
                <w:between w:val="nil"/>
              </w:pBdr>
              <w:ind w:firstLine="567"/>
              <w:jc w:val="both"/>
              <w:rPr>
                <w:color w:val="000000"/>
                <w:sz w:val="22"/>
                <w:szCs w:val="22"/>
              </w:rPr>
            </w:pPr>
          </w:p>
          <w:p w14:paraId="12813E9F" w14:textId="77777777" w:rsidR="00E17C5A" w:rsidRDefault="00000000">
            <w:pPr>
              <w:pBdr>
                <w:top w:val="nil"/>
                <w:left w:val="nil"/>
                <w:bottom w:val="nil"/>
                <w:right w:val="nil"/>
                <w:between w:val="nil"/>
              </w:pBdr>
              <w:ind w:firstLine="567"/>
              <w:jc w:val="both"/>
              <w:rPr>
                <w:color w:val="000000"/>
                <w:sz w:val="22"/>
                <w:szCs w:val="22"/>
              </w:rPr>
            </w:pPr>
            <w:r>
              <w:rPr>
                <w:color w:val="000000"/>
                <w:sz w:val="22"/>
                <w:szCs w:val="22"/>
              </w:rPr>
              <w:t xml:space="preserve">- Applicant undertakes to ensure the adequacy and effectiveness of the approved quality management system. </w:t>
            </w:r>
          </w:p>
          <w:p w14:paraId="034C0590" w14:textId="77777777" w:rsidR="00E17C5A" w:rsidRDefault="00E17C5A">
            <w:pPr>
              <w:pBdr>
                <w:top w:val="nil"/>
                <w:left w:val="nil"/>
                <w:bottom w:val="nil"/>
                <w:right w:val="nil"/>
                <w:between w:val="nil"/>
              </w:pBdr>
              <w:ind w:firstLine="567"/>
              <w:jc w:val="both"/>
              <w:rPr>
                <w:color w:val="000000"/>
                <w:sz w:val="22"/>
                <w:szCs w:val="22"/>
              </w:rPr>
            </w:pPr>
          </w:p>
          <w:p w14:paraId="167E0C17" w14:textId="77777777" w:rsidR="00E17C5A" w:rsidRDefault="00000000">
            <w:pPr>
              <w:pBdr>
                <w:top w:val="nil"/>
                <w:left w:val="nil"/>
                <w:bottom w:val="nil"/>
                <w:right w:val="nil"/>
                <w:between w:val="nil"/>
              </w:pBdr>
              <w:ind w:firstLine="567"/>
              <w:jc w:val="both"/>
              <w:rPr>
                <w:color w:val="000000"/>
                <w:sz w:val="22"/>
                <w:szCs w:val="22"/>
              </w:rPr>
            </w:pPr>
            <w:r>
              <w:rPr>
                <w:color w:val="000000"/>
                <w:sz w:val="22"/>
                <w:szCs w:val="22"/>
              </w:rPr>
              <w:t>- Applicant undertakes to inform «RMCC» Ltd about any plans to implement significant changes to the quality management system or a covered product list.</w:t>
            </w:r>
          </w:p>
          <w:p w14:paraId="7CA294F9" w14:textId="77777777" w:rsidR="00E17C5A" w:rsidRDefault="00E17C5A">
            <w:pPr>
              <w:pBdr>
                <w:top w:val="nil"/>
                <w:left w:val="nil"/>
                <w:bottom w:val="nil"/>
                <w:right w:val="nil"/>
                <w:between w:val="nil"/>
              </w:pBdr>
              <w:ind w:firstLine="567"/>
              <w:jc w:val="both"/>
              <w:rPr>
                <w:color w:val="000000"/>
                <w:sz w:val="22"/>
                <w:szCs w:val="22"/>
              </w:rPr>
            </w:pPr>
          </w:p>
          <w:p w14:paraId="043A2004" w14:textId="77777777" w:rsidR="00E17C5A" w:rsidRDefault="00000000">
            <w:pPr>
              <w:pBdr>
                <w:top w:val="nil"/>
                <w:left w:val="nil"/>
                <w:bottom w:val="nil"/>
                <w:right w:val="nil"/>
                <w:between w:val="nil"/>
              </w:pBdr>
              <w:ind w:firstLine="567"/>
              <w:jc w:val="both"/>
              <w:rPr>
                <w:color w:val="000000"/>
                <w:sz w:val="22"/>
                <w:szCs w:val="22"/>
              </w:rPr>
            </w:pPr>
            <w:r>
              <w:rPr>
                <w:color w:val="000000"/>
                <w:sz w:val="22"/>
                <w:szCs w:val="22"/>
              </w:rPr>
              <w:t>- Applicant undertakes to keep up to date a systematic procedure to study the experience obtained after the production phase and to implement appropriate means taking any necessary corrective actions.</w:t>
            </w:r>
          </w:p>
          <w:p w14:paraId="44EAE596" w14:textId="77777777" w:rsidR="00E17C5A" w:rsidRDefault="00E17C5A">
            <w:pPr>
              <w:pBdr>
                <w:top w:val="nil"/>
                <w:left w:val="nil"/>
                <w:bottom w:val="nil"/>
                <w:right w:val="nil"/>
                <w:between w:val="nil"/>
              </w:pBdr>
              <w:ind w:firstLine="567"/>
              <w:jc w:val="both"/>
              <w:rPr>
                <w:color w:val="000000"/>
                <w:sz w:val="22"/>
                <w:szCs w:val="22"/>
              </w:rPr>
            </w:pPr>
          </w:p>
          <w:p w14:paraId="027684D0" w14:textId="77777777" w:rsidR="00E17C5A" w:rsidRDefault="00000000">
            <w:pPr>
              <w:pBdr>
                <w:top w:val="nil"/>
                <w:left w:val="nil"/>
                <w:bottom w:val="nil"/>
                <w:right w:val="nil"/>
                <w:between w:val="nil"/>
              </w:pBdr>
              <w:ind w:firstLine="567"/>
              <w:jc w:val="both"/>
              <w:rPr>
                <w:color w:val="000000"/>
                <w:sz w:val="22"/>
                <w:szCs w:val="22"/>
              </w:rPr>
            </w:pPr>
            <w:r>
              <w:rPr>
                <w:color w:val="000000"/>
                <w:sz w:val="22"/>
                <w:szCs w:val="22"/>
              </w:rPr>
              <w:t>- Applicant undertakes to notify the competent bodies about the occurrence of incidents in relation to the products immediately after receiving information about them.</w:t>
            </w:r>
          </w:p>
          <w:p w14:paraId="17D1C075" w14:textId="77777777" w:rsidR="00E17C5A" w:rsidRDefault="00E17C5A">
            <w:pPr>
              <w:pBdr>
                <w:top w:val="nil"/>
                <w:left w:val="nil"/>
                <w:bottom w:val="nil"/>
                <w:right w:val="nil"/>
                <w:between w:val="nil"/>
              </w:pBdr>
              <w:ind w:firstLine="567"/>
              <w:jc w:val="both"/>
              <w:rPr>
                <w:color w:val="000000"/>
                <w:sz w:val="22"/>
                <w:szCs w:val="22"/>
              </w:rPr>
            </w:pPr>
          </w:p>
          <w:p w14:paraId="64D11861" w14:textId="77777777" w:rsidR="00E17C5A" w:rsidRDefault="00000000">
            <w:pPr>
              <w:pBdr>
                <w:top w:val="nil"/>
                <w:left w:val="nil"/>
                <w:bottom w:val="nil"/>
                <w:right w:val="nil"/>
                <w:between w:val="nil"/>
              </w:pBdr>
              <w:ind w:firstLine="567"/>
              <w:jc w:val="both"/>
              <w:rPr>
                <w:color w:val="000000"/>
                <w:sz w:val="22"/>
                <w:szCs w:val="22"/>
              </w:rPr>
            </w:pPr>
            <w:r>
              <w:rPr>
                <w:color w:val="000000"/>
                <w:sz w:val="22"/>
                <w:szCs w:val="22"/>
              </w:rPr>
              <w:t>- Applicant will provide all the necessary documents and is responsible for the accuracy of the information in the submissions.</w:t>
            </w:r>
          </w:p>
          <w:p w14:paraId="44A123D8" w14:textId="77777777" w:rsidR="00E17C5A" w:rsidRDefault="00000000">
            <w:pPr>
              <w:pBdr>
                <w:top w:val="nil"/>
                <w:left w:val="nil"/>
                <w:bottom w:val="nil"/>
                <w:right w:val="nil"/>
                <w:between w:val="nil"/>
              </w:pBdr>
              <w:ind w:firstLine="567"/>
              <w:jc w:val="both"/>
              <w:rPr>
                <w:color w:val="000000"/>
                <w:sz w:val="22"/>
                <w:szCs w:val="22"/>
              </w:rPr>
            </w:pPr>
            <w:r>
              <w:rPr>
                <w:color w:val="000000"/>
                <w:sz w:val="22"/>
                <w:szCs w:val="22"/>
              </w:rPr>
              <w:lastRenderedPageBreak/>
              <w:t>- The applicant is acquainted with the Conditions of conformity assessment, the Procedure for certification of the quality management system, the Procedure for product certification, the conditions for certification support, as well as the procedure for reviewing appeals and complaints.</w:t>
            </w:r>
          </w:p>
        </w:tc>
      </w:tr>
    </w:tbl>
    <w:p w14:paraId="276AF8C9" w14:textId="77777777" w:rsidR="00E17C5A" w:rsidRDefault="00E17C5A">
      <w:pPr>
        <w:pBdr>
          <w:top w:val="nil"/>
          <w:left w:val="nil"/>
          <w:bottom w:val="nil"/>
          <w:right w:val="nil"/>
          <w:between w:val="nil"/>
        </w:pBdr>
        <w:tabs>
          <w:tab w:val="left" w:pos="1080"/>
        </w:tabs>
        <w:ind w:right="1" w:firstLine="540"/>
        <w:jc w:val="center"/>
        <w:rPr>
          <w:color w:val="000000"/>
          <w:sz w:val="22"/>
          <w:szCs w:val="22"/>
        </w:rPr>
      </w:pPr>
    </w:p>
    <w:p w14:paraId="4DD70ADD" w14:textId="77777777" w:rsidR="00E17C5A" w:rsidRDefault="00E17C5A">
      <w:pPr>
        <w:pBdr>
          <w:top w:val="nil"/>
          <w:left w:val="nil"/>
          <w:bottom w:val="nil"/>
          <w:right w:val="nil"/>
          <w:between w:val="nil"/>
        </w:pBdr>
        <w:ind w:firstLine="567"/>
        <w:jc w:val="both"/>
        <w:rPr>
          <w:color w:val="000000"/>
          <w:sz w:val="22"/>
          <w:szCs w:val="22"/>
        </w:rPr>
      </w:pPr>
    </w:p>
    <w:p w14:paraId="4DC8A3F0" w14:textId="77777777" w:rsidR="00E17C5A" w:rsidRDefault="00000000">
      <w:pPr>
        <w:pBdr>
          <w:top w:val="nil"/>
          <w:left w:val="nil"/>
          <w:bottom w:val="nil"/>
          <w:right w:val="nil"/>
          <w:between w:val="nil"/>
        </w:pBdr>
        <w:jc w:val="both"/>
        <w:rPr>
          <w:color w:val="000000"/>
          <w:sz w:val="22"/>
          <w:szCs w:val="22"/>
        </w:rPr>
      </w:pPr>
      <w:r>
        <w:rPr>
          <w:b/>
          <w:color w:val="000000"/>
          <w:sz w:val="22"/>
          <w:szCs w:val="22"/>
        </w:rPr>
        <w:t xml:space="preserve">ТОВ «Дослідний медичний центр сертифікації» </w:t>
      </w:r>
    </w:p>
    <w:p w14:paraId="25461E5B" w14:textId="77777777" w:rsidR="00E17C5A" w:rsidRDefault="00000000">
      <w:pPr>
        <w:pBdr>
          <w:top w:val="nil"/>
          <w:left w:val="nil"/>
          <w:bottom w:val="nil"/>
          <w:right w:val="nil"/>
          <w:between w:val="nil"/>
        </w:pBdr>
        <w:jc w:val="both"/>
        <w:rPr>
          <w:color w:val="000000"/>
          <w:sz w:val="22"/>
          <w:szCs w:val="22"/>
        </w:rPr>
      </w:pPr>
      <w:r>
        <w:rPr>
          <w:b/>
          <w:color w:val="000000"/>
          <w:sz w:val="22"/>
          <w:szCs w:val="22"/>
        </w:rPr>
        <w:t>Адреса: провулок Хоткевича Гната, будинок 2-А, офіс 2.1.6, Київ, 02094, Україна</w:t>
      </w:r>
    </w:p>
    <w:p w14:paraId="0E075FAE" w14:textId="77777777" w:rsidR="00E17C5A" w:rsidRDefault="00000000">
      <w:pPr>
        <w:pBdr>
          <w:top w:val="nil"/>
          <w:left w:val="nil"/>
          <w:bottom w:val="nil"/>
          <w:right w:val="nil"/>
          <w:between w:val="nil"/>
        </w:pBdr>
        <w:jc w:val="both"/>
        <w:rPr>
          <w:color w:val="000000"/>
          <w:sz w:val="22"/>
          <w:szCs w:val="22"/>
        </w:rPr>
      </w:pPr>
      <w:r>
        <w:rPr>
          <w:b/>
          <w:color w:val="000000"/>
          <w:sz w:val="22"/>
          <w:szCs w:val="22"/>
        </w:rPr>
        <w:t>Телефон/ факс: +38(044) 2274061</w:t>
      </w:r>
    </w:p>
    <w:p w14:paraId="4BEE48CA" w14:textId="77777777" w:rsidR="00E17C5A" w:rsidRDefault="00000000">
      <w:pPr>
        <w:pBdr>
          <w:top w:val="nil"/>
          <w:left w:val="nil"/>
          <w:bottom w:val="nil"/>
          <w:right w:val="nil"/>
          <w:between w:val="nil"/>
        </w:pBdr>
        <w:rPr>
          <w:color w:val="000000"/>
          <w:sz w:val="22"/>
          <w:szCs w:val="22"/>
        </w:rPr>
      </w:pPr>
      <w:r>
        <w:rPr>
          <w:color w:val="000000"/>
          <w:sz w:val="22"/>
          <w:szCs w:val="22"/>
        </w:rPr>
        <w:t>Research Medical Center of Certification Ltd</w:t>
      </w:r>
    </w:p>
    <w:p w14:paraId="0F6B382A" w14:textId="77777777" w:rsidR="00E17C5A" w:rsidRDefault="00000000">
      <w:pPr>
        <w:pBdr>
          <w:top w:val="nil"/>
          <w:left w:val="nil"/>
          <w:bottom w:val="nil"/>
          <w:right w:val="nil"/>
          <w:between w:val="nil"/>
        </w:pBdr>
        <w:jc w:val="both"/>
        <w:rPr>
          <w:color w:val="000000"/>
          <w:sz w:val="22"/>
          <w:szCs w:val="22"/>
        </w:rPr>
      </w:pPr>
      <w:r>
        <w:rPr>
          <w:color w:val="000000"/>
          <w:sz w:val="22"/>
          <w:szCs w:val="22"/>
        </w:rPr>
        <w:t>Address: 2А, Khotkevycha Hnata Lane, of. 2.1.6,  Kyiv, 02094, Ukraine</w:t>
      </w:r>
    </w:p>
    <w:p w14:paraId="1F566160" w14:textId="77777777" w:rsidR="00E17C5A" w:rsidRDefault="00000000">
      <w:pPr>
        <w:pBdr>
          <w:top w:val="nil"/>
          <w:left w:val="nil"/>
          <w:bottom w:val="nil"/>
          <w:right w:val="nil"/>
          <w:between w:val="nil"/>
        </w:pBdr>
        <w:jc w:val="both"/>
        <w:rPr>
          <w:color w:val="000000"/>
          <w:sz w:val="22"/>
          <w:szCs w:val="22"/>
        </w:rPr>
      </w:pPr>
      <w:r>
        <w:rPr>
          <w:color w:val="000000"/>
          <w:sz w:val="22"/>
          <w:szCs w:val="22"/>
        </w:rPr>
        <w:t>Phone/fax: +38(044) 2274061</w:t>
      </w:r>
    </w:p>
    <w:p w14:paraId="4FE2699B" w14:textId="77777777" w:rsidR="00E17C5A" w:rsidRDefault="00000000">
      <w:pPr>
        <w:pBdr>
          <w:top w:val="nil"/>
          <w:left w:val="nil"/>
          <w:bottom w:val="nil"/>
          <w:right w:val="nil"/>
          <w:between w:val="nil"/>
        </w:pBdr>
        <w:rPr>
          <w:color w:val="000000"/>
          <w:sz w:val="22"/>
          <w:szCs w:val="22"/>
        </w:rPr>
      </w:pPr>
      <w:r>
        <w:rPr>
          <w:color w:val="000000"/>
          <w:sz w:val="22"/>
          <w:szCs w:val="22"/>
        </w:rPr>
        <w:t>Директор                                                                                 А.В. Чекалін</w:t>
      </w:r>
    </w:p>
    <w:p w14:paraId="3BFA2EF5" w14:textId="77777777" w:rsidR="00E17C5A" w:rsidRDefault="00000000">
      <w:pPr>
        <w:pBdr>
          <w:top w:val="nil"/>
          <w:left w:val="nil"/>
          <w:bottom w:val="nil"/>
          <w:right w:val="nil"/>
          <w:between w:val="nil"/>
        </w:pBdr>
        <w:jc w:val="both"/>
        <w:rPr>
          <w:color w:val="000000"/>
          <w:sz w:val="22"/>
          <w:szCs w:val="22"/>
        </w:rPr>
      </w:pPr>
      <w:r>
        <w:rPr>
          <w:color w:val="000000"/>
          <w:sz w:val="22"/>
          <w:szCs w:val="22"/>
        </w:rPr>
        <w:t>Director                                                                                    A. Chekalin</w:t>
      </w:r>
    </w:p>
    <w:p w14:paraId="07E84A12" w14:textId="77777777" w:rsidR="00E17C5A" w:rsidRDefault="00E17C5A">
      <w:pPr>
        <w:pBdr>
          <w:top w:val="nil"/>
          <w:left w:val="nil"/>
          <w:bottom w:val="nil"/>
          <w:right w:val="nil"/>
          <w:between w:val="nil"/>
        </w:pBdr>
        <w:jc w:val="both"/>
        <w:rPr>
          <w:color w:val="FF0000"/>
          <w:sz w:val="22"/>
          <w:szCs w:val="22"/>
        </w:rPr>
      </w:pPr>
    </w:p>
    <w:p w14:paraId="756E3894" w14:textId="77777777" w:rsidR="00E17C5A" w:rsidRDefault="00E17C5A">
      <w:pPr>
        <w:pBdr>
          <w:top w:val="nil"/>
          <w:left w:val="nil"/>
          <w:bottom w:val="nil"/>
          <w:right w:val="nil"/>
          <w:between w:val="nil"/>
        </w:pBdr>
        <w:rPr>
          <w:color w:val="000000"/>
          <w:sz w:val="22"/>
          <w:szCs w:val="22"/>
        </w:rPr>
      </w:pPr>
    </w:p>
    <w:p w14:paraId="207D6DC5" w14:textId="77777777" w:rsidR="00E17C5A" w:rsidRDefault="00000000">
      <w:pPr>
        <w:pBdr>
          <w:top w:val="nil"/>
          <w:left w:val="nil"/>
          <w:bottom w:val="nil"/>
          <w:right w:val="nil"/>
          <w:between w:val="nil"/>
        </w:pBdr>
        <w:rPr>
          <w:color w:val="000000"/>
          <w:sz w:val="22"/>
          <w:szCs w:val="22"/>
        </w:rPr>
      </w:pPr>
      <w:r>
        <w:rPr>
          <w:b/>
          <w:color w:val="000000"/>
          <w:sz w:val="22"/>
          <w:szCs w:val="22"/>
        </w:rPr>
        <w:t>Виробник</w:t>
      </w:r>
    </w:p>
    <w:p w14:paraId="06E8D68B" w14:textId="77777777" w:rsidR="00E17C5A" w:rsidRDefault="00000000">
      <w:pPr>
        <w:pBdr>
          <w:top w:val="nil"/>
          <w:left w:val="nil"/>
          <w:bottom w:val="nil"/>
          <w:right w:val="nil"/>
          <w:between w:val="nil"/>
        </w:pBdr>
        <w:rPr>
          <w:color w:val="000000"/>
          <w:sz w:val="22"/>
          <w:szCs w:val="22"/>
        </w:rPr>
      </w:pPr>
      <w:r>
        <w:rPr>
          <w:color w:val="000000"/>
          <w:sz w:val="22"/>
          <w:szCs w:val="22"/>
        </w:rPr>
        <w:t>Legal Manufacturer</w:t>
      </w:r>
    </w:p>
    <w:p w14:paraId="2D7B39E9" w14:textId="3504F841" w:rsidR="00E17C5A" w:rsidRDefault="00855FD5">
      <w:pPr>
        <w:pBdr>
          <w:top w:val="nil"/>
          <w:left w:val="nil"/>
          <w:bottom w:val="nil"/>
          <w:right w:val="nil"/>
          <w:between w:val="nil"/>
        </w:pBdr>
        <w:rPr>
          <w:color w:val="000000"/>
          <w:sz w:val="22"/>
          <w:szCs w:val="22"/>
          <w:lang w:val="en-US"/>
        </w:rPr>
      </w:pPr>
      <w:r>
        <w:rPr>
          <w:color w:val="000000"/>
          <w:sz w:val="22"/>
          <w:szCs w:val="22"/>
          <w:lang w:val="en-US"/>
        </w:rPr>
        <w:t>Address:</w:t>
      </w:r>
    </w:p>
    <w:p w14:paraId="1C801792" w14:textId="66120E5D" w:rsidR="00855FD5" w:rsidRDefault="00855FD5">
      <w:pPr>
        <w:pBdr>
          <w:top w:val="nil"/>
          <w:left w:val="nil"/>
          <w:bottom w:val="nil"/>
          <w:right w:val="nil"/>
          <w:between w:val="nil"/>
        </w:pBdr>
        <w:rPr>
          <w:color w:val="000000"/>
          <w:sz w:val="22"/>
          <w:szCs w:val="22"/>
          <w:lang w:val="en-US"/>
        </w:rPr>
      </w:pPr>
      <w:r>
        <w:rPr>
          <w:color w:val="000000"/>
          <w:sz w:val="22"/>
          <w:szCs w:val="22"/>
          <w:lang w:val="en-US"/>
        </w:rPr>
        <w:t>Tel</w:t>
      </w:r>
    </w:p>
    <w:p w14:paraId="5A01DA3C" w14:textId="39133781" w:rsidR="00855FD5" w:rsidRPr="00855FD5" w:rsidRDefault="00855FD5">
      <w:pPr>
        <w:pBdr>
          <w:top w:val="nil"/>
          <w:left w:val="nil"/>
          <w:bottom w:val="nil"/>
          <w:right w:val="nil"/>
          <w:between w:val="nil"/>
        </w:pBdr>
        <w:rPr>
          <w:color w:val="000000"/>
          <w:sz w:val="22"/>
          <w:szCs w:val="22"/>
          <w:lang w:val="en-US"/>
        </w:rPr>
      </w:pPr>
      <w:r>
        <w:rPr>
          <w:color w:val="000000"/>
          <w:sz w:val="22"/>
          <w:szCs w:val="22"/>
          <w:lang w:val="en-US"/>
        </w:rPr>
        <w:t>email</w:t>
      </w:r>
    </w:p>
    <w:p w14:paraId="6B6967F3" w14:textId="77777777" w:rsidR="00E17C5A" w:rsidRDefault="00E17C5A">
      <w:pPr>
        <w:pBdr>
          <w:top w:val="nil"/>
          <w:left w:val="nil"/>
          <w:bottom w:val="nil"/>
          <w:right w:val="nil"/>
          <w:between w:val="nil"/>
        </w:pBdr>
        <w:rPr>
          <w:color w:val="000000"/>
          <w:sz w:val="22"/>
          <w:szCs w:val="22"/>
        </w:rPr>
      </w:pPr>
    </w:p>
    <w:p w14:paraId="45C5B9FB" w14:textId="77777777" w:rsidR="00E17C5A" w:rsidRDefault="00000000">
      <w:pPr>
        <w:pBdr>
          <w:top w:val="nil"/>
          <w:left w:val="nil"/>
          <w:bottom w:val="nil"/>
          <w:right w:val="nil"/>
          <w:between w:val="nil"/>
        </w:pBdr>
        <w:rPr>
          <w:color w:val="000000"/>
          <w:sz w:val="22"/>
          <w:szCs w:val="22"/>
        </w:rPr>
      </w:pPr>
      <w:r>
        <w:rPr>
          <w:color w:val="000000"/>
          <w:sz w:val="22"/>
          <w:szCs w:val="22"/>
        </w:rPr>
        <w:t>_________________________________________________</w:t>
      </w:r>
    </w:p>
    <w:p w14:paraId="4D7CB0D1" w14:textId="77777777" w:rsidR="00E17C5A" w:rsidRDefault="00E17C5A">
      <w:pPr>
        <w:pBdr>
          <w:top w:val="nil"/>
          <w:left w:val="nil"/>
          <w:bottom w:val="nil"/>
          <w:right w:val="nil"/>
          <w:between w:val="nil"/>
        </w:pBdr>
        <w:jc w:val="center"/>
        <w:rPr>
          <w:color w:val="000000"/>
          <w:sz w:val="22"/>
          <w:szCs w:val="22"/>
        </w:rPr>
      </w:pPr>
    </w:p>
    <w:p w14:paraId="43982B93" w14:textId="77777777" w:rsidR="00E17C5A" w:rsidRDefault="00000000">
      <w:pPr>
        <w:pBdr>
          <w:top w:val="nil"/>
          <w:left w:val="nil"/>
          <w:bottom w:val="nil"/>
          <w:right w:val="nil"/>
          <w:between w:val="nil"/>
        </w:pBdr>
        <w:rPr>
          <w:color w:val="000000"/>
          <w:sz w:val="22"/>
          <w:szCs w:val="22"/>
        </w:rPr>
      </w:pPr>
      <w:r>
        <w:rPr>
          <w:b/>
          <w:color w:val="000000"/>
          <w:sz w:val="22"/>
          <w:szCs w:val="22"/>
        </w:rPr>
        <w:t xml:space="preserve">Уповноважений представник в Україні </w:t>
      </w:r>
    </w:p>
    <w:p w14:paraId="3FCC8496" w14:textId="77777777" w:rsidR="00E17C5A" w:rsidRDefault="00000000">
      <w:pPr>
        <w:pBdr>
          <w:top w:val="nil"/>
          <w:left w:val="nil"/>
          <w:bottom w:val="nil"/>
          <w:right w:val="nil"/>
          <w:between w:val="nil"/>
        </w:pBdr>
        <w:rPr>
          <w:color w:val="000000"/>
          <w:sz w:val="22"/>
          <w:szCs w:val="22"/>
        </w:rPr>
      </w:pPr>
      <w:r>
        <w:rPr>
          <w:color w:val="000000"/>
          <w:sz w:val="22"/>
          <w:szCs w:val="22"/>
        </w:rPr>
        <w:t>Ukrainian Authorized representative</w:t>
      </w:r>
    </w:p>
    <w:p w14:paraId="240754B2" w14:textId="5B1E3029" w:rsidR="00E17C5A" w:rsidRDefault="00855FD5">
      <w:pPr>
        <w:pBdr>
          <w:top w:val="nil"/>
          <w:left w:val="nil"/>
          <w:bottom w:val="nil"/>
          <w:right w:val="nil"/>
          <w:between w:val="nil"/>
        </w:pBdr>
        <w:tabs>
          <w:tab w:val="left" w:pos="9135"/>
        </w:tabs>
        <w:rPr>
          <w:color w:val="000000"/>
          <w:sz w:val="22"/>
          <w:szCs w:val="22"/>
        </w:rPr>
      </w:pPr>
      <w:r>
        <w:rPr>
          <w:color w:val="000000"/>
          <w:sz w:val="22"/>
          <w:szCs w:val="22"/>
        </w:rPr>
        <w:t>Адреса</w:t>
      </w:r>
    </w:p>
    <w:p w14:paraId="1ACCBFD7" w14:textId="1F5BA687" w:rsidR="00855FD5" w:rsidRDefault="00855FD5">
      <w:pPr>
        <w:pBdr>
          <w:top w:val="nil"/>
          <w:left w:val="nil"/>
          <w:bottom w:val="nil"/>
          <w:right w:val="nil"/>
          <w:between w:val="nil"/>
        </w:pBdr>
        <w:tabs>
          <w:tab w:val="left" w:pos="9135"/>
        </w:tabs>
        <w:rPr>
          <w:color w:val="000000"/>
          <w:sz w:val="22"/>
          <w:szCs w:val="22"/>
        </w:rPr>
      </w:pPr>
      <w:r>
        <w:rPr>
          <w:color w:val="000000"/>
          <w:sz w:val="22"/>
          <w:szCs w:val="22"/>
        </w:rPr>
        <w:t>Тел.</w:t>
      </w:r>
    </w:p>
    <w:p w14:paraId="7F4165B4" w14:textId="28F87F28" w:rsidR="00855FD5" w:rsidRDefault="00855FD5">
      <w:pPr>
        <w:pBdr>
          <w:top w:val="nil"/>
          <w:left w:val="nil"/>
          <w:bottom w:val="nil"/>
          <w:right w:val="nil"/>
          <w:between w:val="nil"/>
        </w:pBdr>
        <w:tabs>
          <w:tab w:val="left" w:pos="9135"/>
        </w:tabs>
        <w:rPr>
          <w:color w:val="000000"/>
          <w:sz w:val="22"/>
          <w:szCs w:val="22"/>
        </w:rPr>
      </w:pPr>
      <w:r>
        <w:rPr>
          <w:color w:val="000000"/>
          <w:sz w:val="22"/>
          <w:szCs w:val="22"/>
        </w:rPr>
        <w:t>пошта</w:t>
      </w:r>
    </w:p>
    <w:p w14:paraId="48490136" w14:textId="77777777" w:rsidR="00E17C5A" w:rsidRDefault="00E17C5A">
      <w:pPr>
        <w:pBdr>
          <w:top w:val="nil"/>
          <w:left w:val="nil"/>
          <w:bottom w:val="nil"/>
          <w:right w:val="nil"/>
          <w:between w:val="nil"/>
        </w:pBdr>
        <w:tabs>
          <w:tab w:val="left" w:pos="9135"/>
        </w:tabs>
        <w:rPr>
          <w:color w:val="000000"/>
          <w:sz w:val="22"/>
          <w:szCs w:val="22"/>
        </w:rPr>
      </w:pPr>
    </w:p>
    <w:p w14:paraId="33C05893" w14:textId="77777777" w:rsidR="00E17C5A" w:rsidRDefault="00E17C5A">
      <w:pPr>
        <w:pBdr>
          <w:top w:val="nil"/>
          <w:left w:val="nil"/>
          <w:bottom w:val="nil"/>
          <w:right w:val="nil"/>
          <w:between w:val="nil"/>
        </w:pBdr>
        <w:tabs>
          <w:tab w:val="left" w:pos="9135"/>
        </w:tabs>
        <w:rPr>
          <w:color w:val="000000"/>
          <w:sz w:val="22"/>
          <w:szCs w:val="22"/>
        </w:rPr>
      </w:pPr>
    </w:p>
    <w:p w14:paraId="7512BEB7" w14:textId="77777777" w:rsidR="00E17C5A" w:rsidRDefault="00E17C5A">
      <w:pPr>
        <w:pBdr>
          <w:top w:val="nil"/>
          <w:left w:val="nil"/>
          <w:bottom w:val="nil"/>
          <w:right w:val="nil"/>
          <w:between w:val="nil"/>
        </w:pBdr>
        <w:tabs>
          <w:tab w:val="left" w:pos="9135"/>
        </w:tabs>
        <w:rPr>
          <w:color w:val="000000"/>
          <w:sz w:val="22"/>
          <w:szCs w:val="22"/>
        </w:rPr>
      </w:pPr>
    </w:p>
    <w:p w14:paraId="6B2B5EF9" w14:textId="77777777" w:rsidR="00E17C5A" w:rsidRDefault="00000000">
      <w:pPr>
        <w:pBdr>
          <w:top w:val="nil"/>
          <w:left w:val="nil"/>
          <w:bottom w:val="nil"/>
          <w:right w:val="nil"/>
          <w:between w:val="nil"/>
        </w:pBdr>
        <w:tabs>
          <w:tab w:val="left" w:pos="9135"/>
        </w:tabs>
        <w:rPr>
          <w:color w:val="000000"/>
          <w:sz w:val="22"/>
          <w:szCs w:val="22"/>
        </w:rPr>
      </w:pPr>
      <w:r>
        <w:rPr>
          <w:color w:val="000000"/>
          <w:sz w:val="22"/>
          <w:szCs w:val="22"/>
        </w:rPr>
        <w:t xml:space="preserve">Director                                                                                  </w:t>
      </w:r>
    </w:p>
    <w:p w14:paraId="79E77741" w14:textId="77777777" w:rsidR="00E17C5A" w:rsidRDefault="00000000">
      <w:pPr>
        <w:pBdr>
          <w:top w:val="nil"/>
          <w:left w:val="nil"/>
          <w:bottom w:val="nil"/>
          <w:right w:val="nil"/>
          <w:between w:val="nil"/>
        </w:pBdr>
        <w:tabs>
          <w:tab w:val="left" w:pos="9135"/>
        </w:tabs>
        <w:rPr>
          <w:color w:val="000000"/>
          <w:sz w:val="22"/>
          <w:szCs w:val="22"/>
        </w:rPr>
      </w:pPr>
      <w:r>
        <w:rPr>
          <w:color w:val="000000"/>
          <w:sz w:val="22"/>
          <w:szCs w:val="22"/>
        </w:rPr>
        <w:t xml:space="preserve">Директор                                                                              </w:t>
      </w:r>
    </w:p>
    <w:p w14:paraId="3FD7021B" w14:textId="77777777" w:rsidR="00E17C5A" w:rsidRDefault="00E17C5A">
      <w:pPr>
        <w:pBdr>
          <w:top w:val="nil"/>
          <w:left w:val="nil"/>
          <w:bottom w:val="nil"/>
          <w:right w:val="nil"/>
          <w:between w:val="nil"/>
        </w:pBdr>
        <w:tabs>
          <w:tab w:val="left" w:pos="9135"/>
        </w:tabs>
        <w:rPr>
          <w:color w:val="000000"/>
          <w:sz w:val="22"/>
          <w:szCs w:val="22"/>
        </w:rPr>
      </w:pPr>
    </w:p>
    <w:p w14:paraId="3678ABA3" w14:textId="77777777" w:rsidR="00E17C5A" w:rsidRDefault="00E17C5A">
      <w:pPr>
        <w:pBdr>
          <w:top w:val="nil"/>
          <w:left w:val="nil"/>
          <w:bottom w:val="nil"/>
          <w:right w:val="nil"/>
          <w:between w:val="nil"/>
        </w:pBdr>
        <w:tabs>
          <w:tab w:val="left" w:pos="9135"/>
        </w:tabs>
        <w:rPr>
          <w:color w:val="000000"/>
          <w:sz w:val="22"/>
          <w:szCs w:val="22"/>
        </w:rPr>
      </w:pPr>
    </w:p>
    <w:p w14:paraId="4E5D6049" w14:textId="77777777" w:rsidR="00E17C5A" w:rsidRDefault="00E17C5A">
      <w:pPr>
        <w:pBdr>
          <w:top w:val="nil"/>
          <w:left w:val="nil"/>
          <w:bottom w:val="nil"/>
          <w:right w:val="nil"/>
          <w:between w:val="nil"/>
        </w:pBdr>
        <w:tabs>
          <w:tab w:val="left" w:pos="9135"/>
        </w:tabs>
        <w:rPr>
          <w:color w:val="000000"/>
          <w:sz w:val="22"/>
          <w:szCs w:val="22"/>
        </w:rPr>
      </w:pPr>
    </w:p>
    <w:sectPr w:rsidR="00E17C5A">
      <w:footerReference w:type="default" r:id="rId7"/>
      <w:pgSz w:w="11906" w:h="16838"/>
      <w:pgMar w:top="426" w:right="926" w:bottom="1134" w:left="1701" w:header="708" w:footer="355"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BF2567" w14:textId="77777777" w:rsidR="00D16526" w:rsidRDefault="00D16526">
      <w:r>
        <w:separator/>
      </w:r>
    </w:p>
  </w:endnote>
  <w:endnote w:type="continuationSeparator" w:id="0">
    <w:p w14:paraId="27CF10B4" w14:textId="77777777" w:rsidR="00D16526" w:rsidRDefault="00D165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F1A05C" w14:textId="77777777" w:rsidR="00E17C5A" w:rsidRDefault="00E17C5A">
    <w:pPr>
      <w:widowControl w:val="0"/>
      <w:pBdr>
        <w:top w:val="nil"/>
        <w:left w:val="nil"/>
        <w:bottom w:val="nil"/>
        <w:right w:val="nil"/>
        <w:between w:val="nil"/>
      </w:pBdr>
      <w:spacing w:line="276" w:lineRule="auto"/>
      <w:rPr>
        <w:color w:val="000000"/>
        <w:sz w:val="24"/>
        <w:szCs w:val="24"/>
      </w:rPr>
    </w:pPr>
  </w:p>
  <w:tbl>
    <w:tblPr>
      <w:tblStyle w:val="a7"/>
      <w:tblW w:w="10773" w:type="dxa"/>
      <w:tblInd w:w="-12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65"/>
      <w:gridCol w:w="2309"/>
      <w:gridCol w:w="2320"/>
      <w:gridCol w:w="2679"/>
    </w:tblGrid>
    <w:tr w:rsidR="00E17C5A" w14:paraId="350C4691" w14:textId="77777777">
      <w:tc>
        <w:tcPr>
          <w:tcW w:w="3465" w:type="dxa"/>
        </w:tcPr>
        <w:p w14:paraId="22A1D446" w14:textId="77777777" w:rsidR="00E17C5A" w:rsidRDefault="00000000">
          <w:pPr>
            <w:pBdr>
              <w:top w:val="nil"/>
              <w:left w:val="nil"/>
              <w:bottom w:val="nil"/>
              <w:right w:val="nil"/>
              <w:between w:val="nil"/>
            </w:pBdr>
            <w:tabs>
              <w:tab w:val="center" w:pos="4677"/>
              <w:tab w:val="right" w:pos="9355"/>
            </w:tabs>
            <w:rPr>
              <w:color w:val="000000"/>
              <w:sz w:val="24"/>
              <w:szCs w:val="24"/>
            </w:rPr>
          </w:pPr>
          <w:r>
            <w:rPr>
              <w:i/>
              <w:color w:val="000000"/>
              <w:sz w:val="24"/>
              <w:szCs w:val="24"/>
            </w:rPr>
            <w:t>Ф.МВ.01- Д.3</w:t>
          </w:r>
        </w:p>
      </w:tc>
      <w:tc>
        <w:tcPr>
          <w:tcW w:w="2309" w:type="dxa"/>
        </w:tcPr>
        <w:p w14:paraId="355935CE" w14:textId="0A90E597" w:rsidR="00E17C5A" w:rsidRPr="00DE12F1" w:rsidRDefault="00000000">
          <w:pPr>
            <w:pBdr>
              <w:top w:val="nil"/>
              <w:left w:val="nil"/>
              <w:bottom w:val="nil"/>
              <w:right w:val="nil"/>
              <w:between w:val="nil"/>
            </w:pBdr>
            <w:tabs>
              <w:tab w:val="center" w:pos="4677"/>
              <w:tab w:val="right" w:pos="9355"/>
            </w:tabs>
            <w:rPr>
              <w:color w:val="000000"/>
              <w:sz w:val="24"/>
              <w:szCs w:val="24"/>
              <w:lang w:val="en-US"/>
            </w:rPr>
          </w:pPr>
          <w:r>
            <w:rPr>
              <w:i/>
              <w:color w:val="000000"/>
              <w:sz w:val="24"/>
              <w:szCs w:val="24"/>
            </w:rPr>
            <w:t xml:space="preserve">Редакція </w:t>
          </w:r>
          <w:r w:rsidR="00DE12F1">
            <w:rPr>
              <w:i/>
              <w:sz w:val="24"/>
              <w:szCs w:val="24"/>
              <w:lang w:val="en-US"/>
            </w:rPr>
            <w:t>10</w:t>
          </w:r>
        </w:p>
      </w:tc>
      <w:tc>
        <w:tcPr>
          <w:tcW w:w="2320" w:type="dxa"/>
        </w:tcPr>
        <w:p w14:paraId="3A71F867" w14:textId="7BA49DDA" w:rsidR="00E17C5A" w:rsidRPr="00DE12F1" w:rsidRDefault="00000000">
          <w:pPr>
            <w:pBdr>
              <w:top w:val="nil"/>
              <w:left w:val="nil"/>
              <w:bottom w:val="nil"/>
              <w:right w:val="nil"/>
              <w:between w:val="nil"/>
            </w:pBdr>
            <w:tabs>
              <w:tab w:val="center" w:pos="4677"/>
              <w:tab w:val="right" w:pos="9355"/>
            </w:tabs>
            <w:rPr>
              <w:color w:val="000000"/>
              <w:sz w:val="24"/>
              <w:szCs w:val="24"/>
              <w:lang w:val="en-US"/>
            </w:rPr>
          </w:pPr>
          <w:r>
            <w:rPr>
              <w:i/>
              <w:color w:val="000000"/>
              <w:sz w:val="24"/>
              <w:szCs w:val="24"/>
            </w:rPr>
            <w:t>Чинна з 0</w:t>
          </w:r>
          <w:r>
            <w:rPr>
              <w:i/>
              <w:sz w:val="24"/>
              <w:szCs w:val="24"/>
            </w:rPr>
            <w:t>1</w:t>
          </w:r>
          <w:r>
            <w:rPr>
              <w:i/>
              <w:color w:val="000000"/>
              <w:sz w:val="24"/>
              <w:szCs w:val="24"/>
            </w:rPr>
            <w:t>.0</w:t>
          </w:r>
          <w:r w:rsidR="00DE12F1">
            <w:rPr>
              <w:i/>
              <w:color w:val="000000"/>
              <w:sz w:val="24"/>
              <w:szCs w:val="24"/>
              <w:lang w:val="en-US"/>
            </w:rPr>
            <w:t>6</w:t>
          </w:r>
          <w:r>
            <w:rPr>
              <w:i/>
              <w:color w:val="000000"/>
              <w:sz w:val="24"/>
              <w:szCs w:val="24"/>
            </w:rPr>
            <w:t>.202</w:t>
          </w:r>
          <w:r w:rsidR="00DE12F1">
            <w:rPr>
              <w:i/>
              <w:sz w:val="24"/>
              <w:szCs w:val="24"/>
              <w:lang w:val="en-US"/>
            </w:rPr>
            <w:t>4</w:t>
          </w:r>
        </w:p>
      </w:tc>
      <w:tc>
        <w:tcPr>
          <w:tcW w:w="2679" w:type="dxa"/>
        </w:tcPr>
        <w:p w14:paraId="415355B8" w14:textId="77777777" w:rsidR="00E17C5A" w:rsidRDefault="00000000">
          <w:pPr>
            <w:pBdr>
              <w:top w:val="nil"/>
              <w:left w:val="nil"/>
              <w:bottom w:val="nil"/>
              <w:right w:val="nil"/>
              <w:between w:val="nil"/>
            </w:pBdr>
            <w:tabs>
              <w:tab w:val="center" w:pos="4677"/>
              <w:tab w:val="right" w:pos="9355"/>
            </w:tabs>
            <w:jc w:val="right"/>
            <w:rPr>
              <w:color w:val="000000"/>
              <w:sz w:val="24"/>
              <w:szCs w:val="24"/>
            </w:rPr>
          </w:pPr>
          <w:r>
            <w:rPr>
              <w:i/>
              <w:color w:val="000000"/>
              <w:sz w:val="24"/>
              <w:szCs w:val="24"/>
            </w:rPr>
            <w:t xml:space="preserve">Сторінка </w:t>
          </w:r>
          <w:r>
            <w:rPr>
              <w:i/>
              <w:color w:val="000000"/>
              <w:sz w:val="24"/>
              <w:szCs w:val="24"/>
            </w:rPr>
            <w:fldChar w:fldCharType="begin"/>
          </w:r>
          <w:r>
            <w:rPr>
              <w:i/>
              <w:color w:val="000000"/>
              <w:sz w:val="24"/>
              <w:szCs w:val="24"/>
            </w:rPr>
            <w:instrText>PAGE</w:instrText>
          </w:r>
          <w:r>
            <w:rPr>
              <w:i/>
              <w:color w:val="000000"/>
              <w:sz w:val="24"/>
              <w:szCs w:val="24"/>
            </w:rPr>
            <w:fldChar w:fldCharType="separate"/>
          </w:r>
          <w:r w:rsidR="00DE12F1">
            <w:rPr>
              <w:i/>
              <w:noProof/>
              <w:color w:val="000000"/>
              <w:sz w:val="24"/>
              <w:szCs w:val="24"/>
            </w:rPr>
            <w:t>2</w:t>
          </w:r>
          <w:r>
            <w:rPr>
              <w:i/>
              <w:color w:val="000000"/>
              <w:sz w:val="24"/>
              <w:szCs w:val="24"/>
            </w:rPr>
            <w:fldChar w:fldCharType="end"/>
          </w:r>
          <w:r>
            <w:rPr>
              <w:i/>
              <w:color w:val="000000"/>
              <w:sz w:val="24"/>
              <w:szCs w:val="24"/>
            </w:rPr>
            <w:t xml:space="preserve"> з </w:t>
          </w:r>
          <w:r>
            <w:rPr>
              <w:i/>
              <w:color w:val="000000"/>
              <w:sz w:val="24"/>
              <w:szCs w:val="24"/>
            </w:rPr>
            <w:fldChar w:fldCharType="begin"/>
          </w:r>
          <w:r>
            <w:rPr>
              <w:i/>
              <w:color w:val="000000"/>
              <w:sz w:val="24"/>
              <w:szCs w:val="24"/>
            </w:rPr>
            <w:instrText>NUMPAGES</w:instrText>
          </w:r>
          <w:r>
            <w:rPr>
              <w:i/>
              <w:color w:val="000000"/>
              <w:sz w:val="24"/>
              <w:szCs w:val="24"/>
            </w:rPr>
            <w:fldChar w:fldCharType="separate"/>
          </w:r>
          <w:r w:rsidR="00DE12F1">
            <w:rPr>
              <w:i/>
              <w:noProof/>
              <w:color w:val="000000"/>
              <w:sz w:val="24"/>
              <w:szCs w:val="24"/>
            </w:rPr>
            <w:t>2</w:t>
          </w:r>
          <w:r>
            <w:rPr>
              <w:i/>
              <w:color w:val="000000"/>
              <w:sz w:val="24"/>
              <w:szCs w:val="24"/>
            </w:rPr>
            <w:fldChar w:fldCharType="end"/>
          </w:r>
        </w:p>
      </w:tc>
    </w:tr>
  </w:tbl>
  <w:p w14:paraId="32FBF088" w14:textId="77777777" w:rsidR="00E17C5A" w:rsidRDefault="00E17C5A">
    <w:pPr>
      <w:pBdr>
        <w:top w:val="nil"/>
        <w:left w:val="nil"/>
        <w:bottom w:val="nil"/>
        <w:right w:val="nil"/>
        <w:between w:val="nil"/>
      </w:pBdr>
      <w:tabs>
        <w:tab w:val="center" w:pos="4677"/>
        <w:tab w:val="right" w:pos="9355"/>
      </w:tabs>
      <w:rPr>
        <w:color w:val="00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D4BDBB" w14:textId="77777777" w:rsidR="00D16526" w:rsidRDefault="00D16526">
      <w:r>
        <w:separator/>
      </w:r>
    </w:p>
  </w:footnote>
  <w:footnote w:type="continuationSeparator" w:id="0">
    <w:p w14:paraId="27428411" w14:textId="77777777" w:rsidR="00D16526" w:rsidRDefault="00D165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C5A"/>
    <w:rsid w:val="00855FD5"/>
    <w:rsid w:val="00B51E8D"/>
    <w:rsid w:val="00BB61EE"/>
    <w:rsid w:val="00D16526"/>
    <w:rsid w:val="00DE12F1"/>
    <w:rsid w:val="00E17C5A"/>
    <w:rsid w:val="00E7313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729D5"/>
  <w15:docId w15:val="{7BCA272C-BDA2-4162-9F75-769751BC8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08" w:type="dxa"/>
        <w:right w:w="108" w:type="dxa"/>
      </w:tblCellMar>
    </w:tblPr>
  </w:style>
  <w:style w:type="table" w:customStyle="1" w:styleId="a6">
    <w:basedOn w:val="TableNormal"/>
    <w:tblPr>
      <w:tblStyleRowBandSize w:val="1"/>
      <w:tblStyleColBandSize w:val="1"/>
      <w:tblCellMar>
        <w:left w:w="108" w:type="dxa"/>
        <w:right w:w="108" w:type="dxa"/>
      </w:tblCellMar>
    </w:tblPr>
  </w:style>
  <w:style w:type="table" w:customStyle="1" w:styleId="a7">
    <w:basedOn w:val="TableNormal"/>
    <w:tblPr>
      <w:tblStyleRowBandSize w:val="1"/>
      <w:tblStyleColBandSize w:val="1"/>
      <w:tblCellMar>
        <w:left w:w="115" w:type="dxa"/>
        <w:right w:w="115" w:type="dxa"/>
      </w:tblCellMar>
    </w:tblPr>
  </w:style>
  <w:style w:type="paragraph" w:styleId="a8">
    <w:name w:val="header"/>
    <w:basedOn w:val="a"/>
    <w:link w:val="a9"/>
    <w:uiPriority w:val="99"/>
    <w:unhideWhenUsed/>
    <w:rsid w:val="00DE12F1"/>
    <w:pPr>
      <w:tabs>
        <w:tab w:val="center" w:pos="4677"/>
        <w:tab w:val="right" w:pos="9355"/>
      </w:tabs>
    </w:pPr>
  </w:style>
  <w:style w:type="character" w:customStyle="1" w:styleId="a9">
    <w:name w:val="Верхний колонтитул Знак"/>
    <w:basedOn w:val="a0"/>
    <w:link w:val="a8"/>
    <w:uiPriority w:val="99"/>
    <w:rsid w:val="00DE12F1"/>
  </w:style>
  <w:style w:type="paragraph" w:styleId="aa">
    <w:name w:val="footer"/>
    <w:basedOn w:val="a"/>
    <w:link w:val="ab"/>
    <w:uiPriority w:val="99"/>
    <w:unhideWhenUsed/>
    <w:rsid w:val="00DE12F1"/>
    <w:pPr>
      <w:tabs>
        <w:tab w:val="center" w:pos="4677"/>
        <w:tab w:val="right" w:pos="9355"/>
      </w:tabs>
    </w:pPr>
  </w:style>
  <w:style w:type="character" w:customStyle="1" w:styleId="ab">
    <w:name w:val="Нижний колонтитул Знак"/>
    <w:basedOn w:val="a0"/>
    <w:link w:val="aa"/>
    <w:uiPriority w:val="99"/>
    <w:rsid w:val="00DE12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920</Words>
  <Characters>5247</Characters>
  <Application>Microsoft Office Word</Application>
  <DocSecurity>0</DocSecurity>
  <Lines>43</Lines>
  <Paragraphs>12</Paragraphs>
  <ScaleCrop>false</ScaleCrop>
  <Company/>
  <LinksUpToDate>false</LinksUpToDate>
  <CharactersWithSpaces>6155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Алина Королева</cp:lastModifiedBy>
  <cp:revision>3</cp:revision>
  <dcterms:created xsi:type="dcterms:W3CDTF">2024-06-12T12:51:00Z</dcterms:created>
  <dcterms:modified xsi:type="dcterms:W3CDTF">2024-10-07T08:16:00Z</dcterms:modified>
</cp:coreProperties>
</file>